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35" w:rsidRPr="00863035" w:rsidRDefault="00863035" w:rsidP="00863035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077CFF">
        <w:rPr>
          <w:rFonts w:ascii="Calibri" w:hAnsi="Calibri"/>
          <w:sz w:val="22"/>
          <w:szCs w:val="22"/>
        </w:rPr>
        <w:t xml:space="preserve">These items assess the frequency with which each respondent engages in </w:t>
      </w:r>
      <w:r>
        <w:rPr>
          <w:rFonts w:ascii="Calibri" w:hAnsi="Calibri"/>
          <w:sz w:val="22"/>
          <w:szCs w:val="22"/>
        </w:rPr>
        <w:t xml:space="preserve">cross-disciplinary </w:t>
      </w:r>
      <w:r w:rsidRPr="00077CFF">
        <w:rPr>
          <w:rFonts w:ascii="Calibri" w:hAnsi="Calibri"/>
          <w:sz w:val="22"/>
          <w:szCs w:val="22"/>
        </w:rPr>
        <w:t xml:space="preserve">activities, such as reading journals or attending conferences outside </w:t>
      </w:r>
      <w:r>
        <w:rPr>
          <w:rFonts w:ascii="Calibri" w:hAnsi="Calibri"/>
          <w:sz w:val="22"/>
          <w:szCs w:val="22"/>
        </w:rPr>
        <w:t xml:space="preserve">of one’s </w:t>
      </w:r>
      <w:r w:rsidRPr="00077CFF">
        <w:rPr>
          <w:rFonts w:ascii="Calibri" w:hAnsi="Calibri"/>
          <w:sz w:val="22"/>
          <w:szCs w:val="22"/>
        </w:rPr>
        <w:t xml:space="preserve">primary field, and </w:t>
      </w:r>
      <w:r>
        <w:rPr>
          <w:rFonts w:ascii="Calibri" w:hAnsi="Calibri"/>
          <w:sz w:val="22"/>
          <w:szCs w:val="22"/>
        </w:rPr>
        <w:t xml:space="preserve">experiences </w:t>
      </w:r>
      <w:r w:rsidRPr="00077CFF">
        <w:rPr>
          <w:rFonts w:ascii="Calibri" w:hAnsi="Calibri"/>
          <w:sz w:val="22"/>
          <w:szCs w:val="22"/>
        </w:rPr>
        <w:t xml:space="preserve">establishing links with colleagues in different disciplines </w:t>
      </w:r>
      <w:r>
        <w:rPr>
          <w:rFonts w:ascii="Calibri" w:hAnsi="Calibri"/>
          <w:sz w:val="22"/>
          <w:szCs w:val="22"/>
        </w:rPr>
        <w:t>that</w:t>
      </w:r>
      <w:r w:rsidRPr="00077C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have </w:t>
      </w:r>
      <w:r w:rsidRPr="00077CFF">
        <w:rPr>
          <w:rFonts w:ascii="Calibri" w:hAnsi="Calibri"/>
          <w:sz w:val="22"/>
          <w:szCs w:val="22"/>
        </w:rPr>
        <w:t>led to</w:t>
      </w:r>
      <w:r>
        <w:rPr>
          <w:rFonts w:ascii="Calibri" w:hAnsi="Calibri"/>
          <w:sz w:val="22"/>
          <w:szCs w:val="22"/>
        </w:rPr>
        <w:t>, or may lead to,</w:t>
      </w:r>
      <w:r w:rsidRPr="00077CFF">
        <w:rPr>
          <w:rFonts w:ascii="Calibri" w:hAnsi="Calibri"/>
          <w:sz w:val="22"/>
          <w:szCs w:val="22"/>
        </w:rPr>
        <w:t xml:space="preserve"> collaborative work</w:t>
      </w:r>
      <w:r>
        <w:rPr>
          <w:rFonts w:ascii="Calibri" w:hAnsi="Calibri"/>
          <w:sz w:val="22"/>
          <w:szCs w:val="22"/>
        </w:rPr>
        <w:t>.</w:t>
      </w:r>
    </w:p>
    <w:p w:rsidR="00863035" w:rsidRDefault="00863035" w:rsidP="00863035">
      <w:pPr>
        <w:rPr>
          <w:b/>
          <w:sz w:val="22"/>
          <w:szCs w:val="22"/>
        </w:rPr>
      </w:pPr>
    </w:p>
    <w:p w:rsidR="00863035" w:rsidRPr="00863035" w:rsidRDefault="00863035" w:rsidP="00863035">
      <w:pPr>
        <w:rPr>
          <w:rFonts w:ascii="Calibri" w:hAnsi="Calibri"/>
          <w:b/>
          <w:sz w:val="22"/>
          <w:szCs w:val="22"/>
        </w:rPr>
      </w:pPr>
      <w:r w:rsidRPr="00863035">
        <w:rPr>
          <w:rFonts w:ascii="Calibri" w:hAnsi="Calibri"/>
          <w:b/>
          <w:sz w:val="22"/>
          <w:szCs w:val="22"/>
        </w:rPr>
        <w:t>Please assess the frequency with which you typically engage in each of the activities listed below.</w:t>
      </w:r>
    </w:p>
    <w:p w:rsidR="00863035" w:rsidRPr="00E01F2C" w:rsidRDefault="00863035" w:rsidP="00863035">
      <w:pPr>
        <w:ind w:left="270"/>
        <w:rPr>
          <w:b/>
          <w:i/>
          <w:sz w:val="14"/>
          <w:szCs w:val="14"/>
        </w:rPr>
      </w:pPr>
    </w:p>
    <w:tbl>
      <w:tblPr>
        <w:tblW w:w="9381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720"/>
        <w:gridCol w:w="650"/>
        <w:gridCol w:w="764"/>
        <w:gridCol w:w="765"/>
        <w:gridCol w:w="881"/>
        <w:gridCol w:w="810"/>
        <w:gridCol w:w="741"/>
      </w:tblGrid>
      <w:tr w:rsidR="00863035" w:rsidRPr="00E01F2C" w:rsidTr="00863035">
        <w:trPr>
          <w:trHeight w:val="317"/>
          <w:jc w:val="center"/>
        </w:trPr>
        <w:tc>
          <w:tcPr>
            <w:tcW w:w="405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jc w:val="left"/>
              <w:rPr>
                <w:rFonts w:ascii="Calibri" w:hAnsi="Calibri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Cs w:val="0"/>
                <w:sz w:val="18"/>
                <w:szCs w:val="18"/>
              </w:rPr>
              <w:t xml:space="preserve">Referring to </w:t>
            </w:r>
            <w:r w:rsidRPr="00E01F2C">
              <w:rPr>
                <w:rFonts w:ascii="Calibri" w:hAnsi="Calibri"/>
                <w:bCs w:val="0"/>
                <w:sz w:val="18"/>
                <w:szCs w:val="18"/>
                <w:u w:val="single"/>
              </w:rPr>
              <w:t>ALL</w:t>
            </w:r>
            <w:r w:rsidRPr="00E01F2C">
              <w:rPr>
                <w:rFonts w:ascii="Calibri" w:hAnsi="Calibri"/>
                <w:bCs w:val="0"/>
                <w:sz w:val="18"/>
                <w:szCs w:val="18"/>
              </w:rPr>
              <w:t xml:space="preserve"> of your professional activities:</w:t>
            </w:r>
          </w:p>
        </w:tc>
        <w:tc>
          <w:tcPr>
            <w:tcW w:w="72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E01F2C">
              <w:rPr>
                <w:rFonts w:ascii="Calibri" w:hAnsi="Calibri"/>
                <w:bCs/>
                <w:i/>
                <w:sz w:val="16"/>
                <w:szCs w:val="16"/>
              </w:rPr>
              <w:t>Never</w:t>
            </w:r>
          </w:p>
        </w:tc>
        <w:tc>
          <w:tcPr>
            <w:tcW w:w="65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E01F2C">
              <w:rPr>
                <w:rFonts w:ascii="Calibri" w:hAnsi="Calibri"/>
                <w:bCs/>
                <w:i/>
                <w:sz w:val="16"/>
                <w:szCs w:val="16"/>
              </w:rPr>
              <w:t>Rarely</w:t>
            </w:r>
          </w:p>
        </w:tc>
        <w:tc>
          <w:tcPr>
            <w:tcW w:w="764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E01F2C">
              <w:rPr>
                <w:rFonts w:ascii="Calibri" w:hAnsi="Calibri"/>
                <w:bCs/>
                <w:i/>
                <w:sz w:val="16"/>
                <w:szCs w:val="16"/>
              </w:rPr>
              <w:t>Once a Year</w:t>
            </w:r>
          </w:p>
        </w:tc>
        <w:tc>
          <w:tcPr>
            <w:tcW w:w="765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E01F2C">
              <w:rPr>
                <w:rFonts w:ascii="Calibri" w:hAnsi="Calibri"/>
                <w:bCs/>
                <w:i/>
                <w:sz w:val="16"/>
                <w:szCs w:val="16"/>
              </w:rPr>
              <w:t>Twice a</w:t>
            </w:r>
          </w:p>
          <w:p w:rsidR="00863035" w:rsidRPr="00E01F2C" w:rsidRDefault="00863035" w:rsidP="00863035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E01F2C">
              <w:rPr>
                <w:rFonts w:ascii="Calibri" w:hAnsi="Calibri"/>
                <w:bCs/>
                <w:i/>
                <w:sz w:val="16"/>
                <w:szCs w:val="16"/>
              </w:rPr>
              <w:t>Year</w:t>
            </w:r>
          </w:p>
        </w:tc>
        <w:tc>
          <w:tcPr>
            <w:tcW w:w="881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E01F2C">
              <w:rPr>
                <w:rFonts w:ascii="Calibri" w:hAnsi="Calibri"/>
                <w:bCs/>
                <w:i/>
                <w:sz w:val="16"/>
                <w:szCs w:val="16"/>
              </w:rPr>
              <w:t>Quarterly</w:t>
            </w:r>
          </w:p>
        </w:tc>
        <w:tc>
          <w:tcPr>
            <w:tcW w:w="81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E01F2C">
              <w:rPr>
                <w:rFonts w:ascii="Calibri" w:hAnsi="Calibri"/>
                <w:bCs/>
                <w:i/>
                <w:sz w:val="16"/>
                <w:szCs w:val="16"/>
              </w:rPr>
              <w:t>Monthly</w:t>
            </w:r>
          </w:p>
        </w:tc>
        <w:tc>
          <w:tcPr>
            <w:tcW w:w="741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E01F2C">
              <w:rPr>
                <w:rFonts w:ascii="Calibri" w:hAnsi="Calibri"/>
                <w:bCs/>
                <w:i/>
                <w:sz w:val="16"/>
                <w:szCs w:val="16"/>
              </w:rPr>
              <w:t>Weekly</w:t>
            </w:r>
          </w:p>
        </w:tc>
      </w:tr>
      <w:tr w:rsidR="00863035" w:rsidRPr="00E01F2C" w:rsidTr="00863035">
        <w:trPr>
          <w:trHeight w:val="495"/>
          <w:jc w:val="center"/>
        </w:trPr>
        <w:tc>
          <w:tcPr>
            <w:tcW w:w="405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ind w:left="263" w:hanging="263"/>
              <w:rPr>
                <w:rFonts w:ascii="Calibri" w:hAnsi="Calibri"/>
                <w:sz w:val="18"/>
                <w:szCs w:val="18"/>
              </w:rPr>
            </w:pPr>
            <w:r w:rsidRPr="00E01F2C">
              <w:rPr>
                <w:rFonts w:ascii="Calibri" w:hAnsi="Calibri"/>
                <w:sz w:val="18"/>
                <w:szCs w:val="18"/>
              </w:rPr>
              <w:t>a.   Read journals or publications outside of your primary field</w:t>
            </w:r>
          </w:p>
        </w:tc>
        <w:tc>
          <w:tcPr>
            <w:tcW w:w="72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1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863035" w:rsidRPr="00E01F2C" w:rsidTr="00863035">
        <w:trPr>
          <w:trHeight w:val="403"/>
          <w:jc w:val="center"/>
        </w:trPr>
        <w:tc>
          <w:tcPr>
            <w:tcW w:w="405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ind w:left="263" w:hanging="263"/>
              <w:rPr>
                <w:rFonts w:ascii="Calibri" w:hAnsi="Calibri"/>
                <w:sz w:val="18"/>
                <w:szCs w:val="18"/>
              </w:rPr>
            </w:pPr>
            <w:r w:rsidRPr="00E01F2C">
              <w:rPr>
                <w:rFonts w:ascii="Calibri" w:hAnsi="Calibri"/>
                <w:sz w:val="18"/>
                <w:szCs w:val="18"/>
              </w:rPr>
              <w:t>b.   Attend meetings or conferences outside of your primary field</w:t>
            </w:r>
          </w:p>
        </w:tc>
        <w:tc>
          <w:tcPr>
            <w:tcW w:w="72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1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863035" w:rsidRPr="00E01F2C" w:rsidTr="00863035">
        <w:trPr>
          <w:trHeight w:val="774"/>
          <w:jc w:val="center"/>
        </w:trPr>
        <w:tc>
          <w:tcPr>
            <w:tcW w:w="405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ind w:left="263" w:hanging="263"/>
              <w:rPr>
                <w:rFonts w:ascii="Calibri" w:hAnsi="Calibri"/>
                <w:sz w:val="18"/>
                <w:szCs w:val="18"/>
              </w:rPr>
            </w:pPr>
            <w:r w:rsidRPr="00E01F2C">
              <w:rPr>
                <w:rFonts w:ascii="Calibri" w:hAnsi="Calibri"/>
                <w:sz w:val="18"/>
                <w:szCs w:val="18"/>
              </w:rPr>
              <w:t>c.    Participate in working groups or committees with the intent to integrate ideas with other participants</w:t>
            </w:r>
          </w:p>
        </w:tc>
        <w:tc>
          <w:tcPr>
            <w:tcW w:w="72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1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863035" w:rsidRPr="00E01F2C" w:rsidTr="00863035">
        <w:trPr>
          <w:trHeight w:val="702"/>
          <w:jc w:val="center"/>
        </w:trPr>
        <w:tc>
          <w:tcPr>
            <w:tcW w:w="405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ind w:left="263" w:hanging="263"/>
              <w:rPr>
                <w:rFonts w:ascii="Calibri" w:hAnsi="Calibri"/>
                <w:sz w:val="18"/>
                <w:szCs w:val="18"/>
              </w:rPr>
            </w:pPr>
            <w:r w:rsidRPr="00E01F2C">
              <w:rPr>
                <w:rFonts w:ascii="Calibri" w:hAnsi="Calibri"/>
                <w:sz w:val="18"/>
                <w:szCs w:val="18"/>
              </w:rPr>
              <w:t>d.   Obtain new insights into your own work through discussion with colleagues who come from different fields or disciplinary orientations</w:t>
            </w:r>
          </w:p>
        </w:tc>
        <w:tc>
          <w:tcPr>
            <w:tcW w:w="72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1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863035" w:rsidRPr="00E01F2C" w:rsidTr="00863035">
        <w:trPr>
          <w:trHeight w:val="999"/>
          <w:jc w:val="center"/>
        </w:trPr>
        <w:tc>
          <w:tcPr>
            <w:tcW w:w="405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ind w:left="263" w:hanging="263"/>
              <w:rPr>
                <w:rFonts w:ascii="Calibri" w:hAnsi="Calibri"/>
                <w:sz w:val="18"/>
                <w:szCs w:val="18"/>
              </w:rPr>
            </w:pPr>
            <w:r w:rsidRPr="00E01F2C">
              <w:rPr>
                <w:rFonts w:ascii="Calibri" w:hAnsi="Calibri"/>
                <w:sz w:val="18"/>
                <w:szCs w:val="18"/>
              </w:rPr>
              <w:t>e.    Modify your own work or research agenda as a result of discussions with colleagues who come from different fields or disciplinary orientations</w:t>
            </w:r>
          </w:p>
        </w:tc>
        <w:tc>
          <w:tcPr>
            <w:tcW w:w="72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1" w:type="dxa"/>
            <w:shd w:val="pct20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863035" w:rsidRPr="00E01F2C" w:rsidTr="00863035">
        <w:trPr>
          <w:trHeight w:val="702"/>
          <w:jc w:val="center"/>
        </w:trPr>
        <w:tc>
          <w:tcPr>
            <w:tcW w:w="405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ind w:left="263" w:hanging="263"/>
              <w:rPr>
                <w:rFonts w:ascii="Calibri" w:hAnsi="Calibri"/>
                <w:sz w:val="18"/>
                <w:szCs w:val="18"/>
              </w:rPr>
            </w:pPr>
            <w:r w:rsidRPr="00E01F2C">
              <w:rPr>
                <w:rFonts w:ascii="Calibri" w:hAnsi="Calibri"/>
                <w:sz w:val="18"/>
                <w:szCs w:val="18"/>
              </w:rPr>
              <w:t>f.    Establish links with colleagues from different fields or disciplinary orientations that have led to or may lead to future collaborative work</w:t>
            </w:r>
          </w:p>
        </w:tc>
        <w:tc>
          <w:tcPr>
            <w:tcW w:w="72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64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1" w:type="dxa"/>
            <w:shd w:val="pct5" w:color="000000" w:fill="FFFFFF"/>
            <w:vAlign w:val="center"/>
          </w:tcPr>
          <w:p w:rsidR="00863035" w:rsidRPr="00E01F2C" w:rsidRDefault="00863035" w:rsidP="00863035">
            <w:pPr>
              <w:pStyle w:val="Subtitle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  <w:r w:rsidRPr="00E01F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E01F2C">
              <w:rPr>
                <w:rFonts w:ascii="Calibri" w:hAnsi="Calibri"/>
                <w:b w:val="0"/>
                <w:bCs w:val="0"/>
                <w:sz w:val="18"/>
                <w:szCs w:val="18"/>
              </w:rPr>
              <w:t>7</w:t>
            </w:r>
          </w:p>
        </w:tc>
      </w:tr>
    </w:tbl>
    <w:p w:rsidR="00863035" w:rsidRPr="00E01F2C" w:rsidRDefault="00863035" w:rsidP="00863035">
      <w:pPr>
        <w:pStyle w:val="Subtitle"/>
        <w:jc w:val="left"/>
        <w:rPr>
          <w:rFonts w:ascii="Times New Roman" w:hAnsi="Times New Roman"/>
          <w:bCs w:val="0"/>
          <w:iCs/>
        </w:rPr>
      </w:pPr>
    </w:p>
    <w:p w:rsidR="00863035" w:rsidRPr="00E01F2C" w:rsidRDefault="00863035" w:rsidP="00863035">
      <w:pPr>
        <w:pStyle w:val="Subtitle"/>
        <w:jc w:val="left"/>
        <w:rPr>
          <w:rFonts w:ascii="Times New Roman" w:hAnsi="Times New Roman"/>
          <w:bCs w:val="0"/>
          <w:iCs/>
        </w:rPr>
      </w:pPr>
    </w:p>
    <w:p w:rsidR="00863035" w:rsidRPr="00E01F2C" w:rsidRDefault="00863035" w:rsidP="00863035">
      <w:pPr>
        <w:pStyle w:val="Subtitle"/>
        <w:jc w:val="left"/>
        <w:rPr>
          <w:rFonts w:ascii="Times New Roman" w:hAnsi="Times New Roman"/>
          <w:bCs w:val="0"/>
          <w:iCs/>
        </w:rPr>
      </w:pPr>
    </w:p>
    <w:p w:rsidR="00B70602" w:rsidRDefault="00B70602"/>
    <w:sectPr w:rsidR="00B70602" w:rsidSect="00B7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971B1"/>
    <w:multiLevelType w:val="hybridMultilevel"/>
    <w:tmpl w:val="1EA05E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22D14E">
      <w:start w:val="1"/>
      <w:numFmt w:val="lowerLetter"/>
      <w:lvlText w:val="2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35"/>
    <w:rsid w:val="00047E44"/>
    <w:rsid w:val="001723B2"/>
    <w:rsid w:val="00863035"/>
    <w:rsid w:val="00B70602"/>
    <w:rsid w:val="00F7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2D687F-EC69-4A44-8363-99525B2C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35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63035"/>
    <w:pPr>
      <w:jc w:val="center"/>
    </w:pPr>
    <w:rPr>
      <w:rFonts w:ascii="Arial Narrow" w:hAnsi="Arial Narrow"/>
      <w:b/>
      <w:bCs/>
      <w:lang w:eastAsia="en-US"/>
    </w:rPr>
  </w:style>
  <w:style w:type="character" w:customStyle="1" w:styleId="SubtitleChar">
    <w:name w:val="Subtitle Char"/>
    <w:link w:val="Subtitle"/>
    <w:rsid w:val="00863035"/>
    <w:rPr>
      <w:rFonts w:ascii="Arial Narrow" w:eastAsia="SimSun" w:hAnsi="Arial Narrow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okamotojm</dc:creator>
  <cp:keywords/>
  <cp:lastModifiedBy>Rob Ireton</cp:lastModifiedBy>
  <cp:revision>2</cp:revision>
  <dcterms:created xsi:type="dcterms:W3CDTF">2015-09-10T21:24:00Z</dcterms:created>
  <dcterms:modified xsi:type="dcterms:W3CDTF">2015-09-10T21:24:00Z</dcterms:modified>
</cp:coreProperties>
</file>